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in der Masse graugrün nuanciert und hat eine nuancierte, unregelmäßige grauschwarze Oberflächtentextur.</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*242x20x38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7036 Riemchen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