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 BESCHAFFENHEIT, ART UND FARBE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Das dekorative Mauerwerk (Innen- und/oder Außenverkleidung) wird mit einem vollen unbesandeten Formbackstein ohne Maserung mit gleichmäßiger Struktur hochgezogen.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Steine werden mit CE-Label geliefert und weisen folgende Merkmale auf: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771-1: 2011 + A1: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*235x20x36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dünner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99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Größentoleranz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Größenverteilung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Rm (12/6/4)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Bruttovolumenmasse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(+/- 20%)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Durchschnittliche normalisierte Druckfestigkeit (Kat. I)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&gt; 30 N/mm²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Wasseraufnahme (24 Stunden)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8%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Anfängliche Wasseraufnahme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0,5 =&lt; IW2 =&lt; 1,5 (IW2)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Wasserdampfdurchlässigkeit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Thermische Eigenschaften (λ10, trocken,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0,85 W/mK (Tabelle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Haltbarkeit (Frost / Tau / Beständigkeit)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 – sehr frostbeständig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Aktiv lösliche Salze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Feuerreaktion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Klebkraft (gemäß EN998-2: 2003 Anhang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determined/ keine leistung festgestellt)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Linea7 3002 Riemchen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RIEMCHEN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KATEGORIE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