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vollen unbesandeten Formbackstein ohne Maserung mit gleichmäßiger Struktur hochgezogen.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*235x72x36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dünner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Größenverteilung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(+/- 20%)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8%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0,5 =&lt; IW2 =&lt; 1,5 (IW2)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0,85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Linea7 7039 Riemchen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RIEMCHEN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