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vollen besandeten Formbackstein ohne Maserung mit gleichmäßiger Struktur hochgezogen.Die Farbe ist Grau-Beige bis in die Masse.  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Verblender werden mit CE- und BENOR-Label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 / sEptEm + Rm (8/4/4)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Unterschriftsmarke nach PTV 23-002 (erforderliche Zusatzeigenschaften für Belgien)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Aussehenseigenschaften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Bei einer Stichprobe von 100 Steinen werden mindestens 90 Steine einen unbeschädigten Kopf und einen unbeschädigten Läufer  anzeigen.  Die Anzahl von fehlerhaften Steinen darf die 5 % nicht überschreiten. Wobei Folgendes als fehlerhaft betrachtet wird; Einschlüsse, die durch Anschwellung zur Abblätterung der Steinoberfläche führen kann, Risse mit einer Breite von =0,2mm auf  mindestens 2 Kanten). Beschädigungen und Fehler sollten vor der Verarbeitung gemeldet werden.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1019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