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vollen besandeten Formbackstein ohne Maserung mit gleichmäßiger Struktur hochgezogen.Die Farbe ist Steingrau bis in die Masse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Verblender werden mit CE- und BENOR-Label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dünner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+/- 20 %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8 %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1,5 kg/(m² . min )  IW2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0,69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Unterschriftsmarke nach PTV 23-002 (erforderliche Zusatzeigenschaften für Belgien)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Aussehenseigenschaften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Bei einer Stichprobe von 100 Steinen werden mindestens 90 Steine einen unbeschädigten Kopf und einen unbeschädigten Läufer  anzeigen.  Die Anzahl von fehlerhaften Steinen darf die 5 % nicht überschreiten. Wobei Folgendes als fehlerhaft betrachtet wird; Einschlüsse, die durch Anschwellung zur Abblätterung der Steinoberfläche führen kann, Risse mit einer Breite von =0,2mm auf  mindestens 2 Kanten). Beschädigungen und Fehler sollten vor der Verarbeitung gemeldet werden.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7030 Riemchen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RIEMCHEN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