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Anthrazit</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oder flach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*210x50x103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91</w:t>
            </w:r>
          </w:p>
        </w:tc>
        <w:tc>
          <w:p>
            <w:r>
              <w:rPr>
                <w:sz w:val="14"/>
                <w:rFonts w:ascii="Myriad Pro Light"/>
                <w:tcPr>
                  <w:vAlign w:val="center"/>
                </w:tcPr>
              </w:rPr>
              <w:t/>
            </w:r>
          </w:p>
        </w:tc>
      </w:tr>
      <w:tr>
        <w:tc>
          <w:p>
            <w:r>
              <w:rPr>
                <w:sz w:val="14"/>
                <w:rFonts w:ascii="Myriad Pro Light"/>
                <w:tcPr>
                  <w:vAlign w:val="center"/>
                </w:tcPr>
              </w:rPr>
              <w:t>Abmessungen (L x B x H)</w:t>
            </w:r>
          </w:p>
        </w:tc>
        <w:tc>
          <w:p>
            <w:r>
              <w:rPr>
                <w:sz w:val="14"/>
                <w:rFonts w:ascii="Myriad Pro Light"/>
                <w:tcPr>
                  <w:vAlign w:val="center"/>
                </w:tcPr>
              </w:rPr>
              <w:t>*210x67x103 mm</w:t>
            </w:r>
          </w:p>
        </w:tc>
        <w:tc>
          <w:p>
            <w:r>
              <w:rPr>
                <w:sz w:val="14"/>
                <w:rFonts w:ascii="Myriad Pro Light"/>
                <w:tcPr>
                  <w:vAlign w:val="center"/>
                </w:tcPr>
              </w:rPr>
              <w:t>auf anfrage für Projekte &gt; 2000 m²</w:t>
            </w:r>
          </w:p>
        </w:tc>
      </w:tr>
      <w:tr>
        <w:tc>
          <w:p>
            <w:r>
              <w:rPr>
                <w:sz w:val="14"/>
                <w:rFonts w:ascii="Myriad Pro Light"/>
                <w:tcPr>
                  <w:vAlign w:val="center"/>
                </w:tcPr>
              </w:rPr>
              <w:t>Stückzahl / qm mit traditioneller Fuge</w:t>
            </w:r>
          </w:p>
        </w:tc>
        <w:tc>
          <w:p>
            <w:r>
              <w:rPr>
                <w:sz w:val="14"/>
                <w:rFonts w:ascii="Myriad Pro Light"/>
                <w:tcPr>
                  <w:vAlign w:val="center"/>
                </w:tcPr>
              </w:rPr>
              <w:t>ca. 68</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WasseraufnahmeNBN EN 771</w:t>
            </w:r>
          </w:p>
        </w:tc>
        <w:tc>
          <w:p>
            <w:r>
              <w:rPr>
                <w:sz w:val="14"/>
                <w:rFonts w:ascii="Myriad Pro Light"/>
                <w:tcPr>
                  <w:vAlign w:val="center"/>
                </w:tcPr>
              </w:rPr>
              <w:t>Klasse 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Klasse 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Klasse 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Maßtoleranz</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r>
        <w:tc>
          <w:p>
            <w:r>
              <w:rPr>
                <w:sz w:val="14"/>
                <w:rFonts w:ascii="Myriad Pro Light"/>
                <w:tcPr>
                  <w:vAlign w:val="center"/>
                </w:tcPr>
              </w:rPr>
              <w:t>Rutschfestigkeit</w:t>
            </w:r>
          </w:p>
        </w:tc>
        <w:tc>
          <w:p>
            <w:r>
              <w:rPr>
                <w:sz w:val="14"/>
                <w:rFonts w:ascii="Myriad Pro Light"/>
                <w:tcPr>
                  <w:vAlign w:val="center"/>
                </w:tcPr>
              </w:rPr>
              <w:t>Klasse U3</w:t>
            </w:r>
          </w:p>
        </w:tc>
        <w:tc>
          <w:p>
            <w:r>
              <w:rPr>
                <w:sz w:val="14"/>
                <w:rFonts w:ascii="Myriad Pro Light"/>
                <w:tcPr>
                  <w:vAlign w:val="center"/>
                </w:tcPr>
              </w:rPr>
              <w:t>&gt;55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DecimA Colosseum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