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Der Außenbelag (gesamte Pflasterung mit Tonpflasterklinkern Vande Moortel Taupe, Bettung, Tragschicht und eventueller unterer Tragschicht) hat einen Durchlässigkeitsbeiwert &gt; 5,4*10-5 m/s.</w:t>
      </w:r>
    </w:p>
    <w:p w:rsidR="00362EC5" w:rsidP="00362EC5" w:rsidRDefault="00362EC5" w14:paraId="198A92FA" w14:textId="433832DF">
      <w:pPr>
        <w:pStyle w:val="Kop1"/>
        <w:keepNext/>
        <w:keepLines/>
        <w:suppressAutoHyphens/>
        <w:spacing w:before="109"/>
        <w:ind w:left="0" w:firstLine="464"/>
      </w:pPr>
      <w:r>
        <w:rPr>
          <w:noProof/>
          <w:color w:val="111111"/>
        </w:rPr>
        <w:t>FARBE</w:t>
      </w:r>
    </w:p>
    <w:p w:rsidR="00362EC5" w:rsidP="00362EC5" w:rsidRDefault="00362EC5" w14:paraId="74352F93" w14:textId="688F89EE">
      <w:pPr>
        <w:spacing w:before="5" w:line="264" w:lineRule="auto"/>
        <w:ind w:left="464" w:right="602"/>
        <w:rPr>
          <w:color w:val="111111"/>
          <w:sz w:val="16"/>
        </w:rPr>
      </w:pPr>
      <w:r>
        <w:rPr>
          <w:noProof/>
          <w:color w:val="111111"/>
          <w:sz w:val="16"/>
        </w:rPr>
        <w:t>Dunkelgrau</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Produktbeschreibung</w:t>
      </w:r>
    </w:p>
    <w:p w:rsidR="00E47813" w:rsidP="00901CEA" w:rsidRDefault="00094E90" w14:paraId="63F168BE" w14:textId="7B04BEF8">
      <w:pPr>
        <w:spacing w:before="5" w:line="264" w:lineRule="auto"/>
        <w:ind w:left="464" w:right="463"/>
        <w:rPr>
          <w:color w:val="111111"/>
          <w:sz w:val="16"/>
        </w:rPr>
      </w:pPr>
      <w:r>
        <w:rPr>
          <w:noProof/>
          <w:color w:val="111111"/>
          <w:sz w:val="16"/>
        </w:rPr>
        <w:t>Die Klinker werden individuell in der unbesandete Form zur vollen Masse geformt, aus Ton</w:t>
        <w:br/>
        <w:t>alluvialer Herkunft aus einem Gebiet im Scheldebecken gepresst und in einem Tunnelofen bei einer Temperatur von etwa 1180°C gebrannt. Die Klinker haben auf der Schmalseite eine unbesandete Oberflächenstruktur.  Die Form ist leicht unregelmäßig. Abschließend werden die Klinker bearbeitet, bis sie eine verwitterte Form erhalten haben, sodass die Klinkerfläche einen rustikalen, gealterten Eindruck vermittelt. Der Verblender wurde ein zweites Mal reduziert gebacken.</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Verlegeart</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Die Klinker werden hochkant verlegt.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Pflasterung wird mit gebrannten Tonklinkern belgischen Ursprungs, Qualitätsklasse A, versehen mit dem Benor-Kennzeichen und dem CE-Kennzeichen ausgeführt.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*210x50x103 mm</w:t>
            </w:r>
          </w:p>
        </w:tc>
        <w:tc>
          <w:p>
            <w:r>
              <w:rPr>
                <w:sz w:val="14"/>
                <w:rFonts w:ascii="Myriad Pro Light"/>
                <w:tcPr>
                  <w:vAlign w:val="center"/>
                </w:tcPr>
              </w:rPr>
              <w:t>auf anfrage für Projekte &gt; 2000 m²</w:t>
            </w:r>
          </w:p>
        </w:tc>
      </w:tr>
      <w:tr>
        <w:tc>
          <w:p>
            <w:r>
              <w:rPr>
                <w:sz w:val="14"/>
                <w:rFonts w:ascii="Myriad Pro Light"/>
                <w:tcPr>
                  <w:vAlign w:val="center"/>
                </w:tcPr>
              </w:rPr>
              <w:t>Stückzahl / qm mit traditioneller Fuge</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Abmessungen (L x B x H)</w:t>
            </w:r>
          </w:p>
        </w:tc>
        <w:tc>
          <w:p>
            <w:r>
              <w:rPr>
                <w:sz w:val="14"/>
                <w:rFonts w:ascii="Myriad Pro Light"/>
                <w:tcPr>
                  <w:vAlign w:val="center"/>
                </w:tcPr>
              </w:rPr>
              <w:t>*210x67x103 mm</w:t>
            </w:r>
          </w:p>
        </w:tc>
        <w:tc>
          <w:p>
            <w:r>
              <w:rPr>
                <w:sz w:val="14"/>
                <w:rFonts w:ascii="Myriad Pro Light"/>
                <w:tcPr>
                  <w:vAlign w:val="center"/>
                </w:tcPr>
              </w:rPr>
              <w:t>auf anfrage für Projekte &gt; 2000 m²</w:t>
            </w:r>
          </w:p>
        </w:tc>
      </w:tr>
      <w:tr>
        <w:tc>
          <w:p>
            <w:r>
              <w:rPr>
                <w:sz w:val="14"/>
                <w:rFonts w:ascii="Myriad Pro Light"/>
                <w:tcPr>
                  <w:vAlign w:val="center"/>
                </w:tcPr>
              </w:rPr>
              <w:t>Stückzahl / qm mit traditioneller Fuge</w:t>
            </w:r>
          </w:p>
        </w:tc>
        <w:tc>
          <w:p>
            <w:r>
              <w:rPr>
                <w:sz w:val="14"/>
                <w:rFonts w:ascii="Myriad Pro Light"/>
                <w:tcPr>
                  <w:vAlign w:val="center"/>
                </w:tcPr>
              </w:rPr>
              <w:t>ca. 68</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PHYSIKALISCHE UND MECHANISCHE EIGENSCHAFTEN GEMÄSS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Charakteristik</w:t>
            </w:r>
          </w:p>
        </w:tc>
        <w:tc>
          <w:p>
            <w:r>
              <w:rPr>
                <w:sz w:val="14"/>
                <w:rFonts w:ascii="Myriad Pro Light"/>
                <w:b/>
                <w:tcPr>
                  <w:vAlign w:val="center"/>
                </w:tcPr>
              </w:rPr>
              <w:t>Klasse</w:t>
            </w:r>
          </w:p>
        </w:tc>
        <w:tc>
          <w:p>
            <w:r>
              <w:rPr>
                <w:sz w:val="14"/>
                <w:rFonts w:ascii="Myriad Pro Light"/>
                <w:b/>
                <w:tcPr>
                  <w:vAlign w:val="center"/>
                </w:tcPr>
              </w:rPr>
              <w:t>Durchschnitt</w:t>
            </w:r>
          </w:p>
        </w:tc>
        <w:tc>
          <w:p>
            <w:r>
              <w:rPr>
                <w:sz w:val="14"/>
                <w:rFonts w:ascii="Myriad Pro Light"/>
                <w:b/>
                <w:tcPr>
                  <w:vAlign w:val="center"/>
                </w:tcPr>
              </w:rPr>
              <w:t>Individuell</w:t>
            </w:r>
          </w:p>
        </w:tc>
      </w:tr>
      <w:tr>
        <w:tc>
          <w:p>
            <w:r>
              <w:rPr>
                <w:sz w:val="14"/>
                <w:rFonts w:ascii="Myriad Pro Light"/>
                <w:tcPr>
                  <w:vAlign w:val="center"/>
                </w:tcPr>
              </w:rPr>
              <w:t>WasseraufnahmeNBN EN 771</w:t>
            </w:r>
          </w:p>
        </w:tc>
        <w:tc>
          <w:p>
            <w:r>
              <w:rPr>
                <w:sz w:val="14"/>
                <w:rFonts w:ascii="Myriad Pro Light"/>
                <w:tcPr>
                  <w:vAlign w:val="center"/>
                </w:tcPr>
              </w:rPr>
              <w:t>Klasse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Biegezugfestigkeit</w:t>
            </w:r>
          </w:p>
        </w:tc>
        <w:tc>
          <w:p>
            <w:r>
              <w:rPr>
                <w:sz w:val="14"/>
                <w:rFonts w:ascii="Myriad Pro Light"/>
                <w:tcPr>
                  <w:vAlign w:val="center"/>
                </w:tcPr>
              </w:rPr>
              <w:t>Klasse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Abriebwiderstand</w:t>
            </w:r>
          </w:p>
        </w:tc>
        <w:tc>
          <w:p>
            <w:r>
              <w:rPr>
                <w:sz w:val="14"/>
                <w:rFonts w:ascii="Myriad Pro Light"/>
                <w:tcPr>
                  <w:vAlign w:val="center"/>
                </w:tcPr>
              </w:rPr>
              <w:t>Klasse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Frostwiderstandsfähigkeit</w:t>
            </w:r>
          </w:p>
        </w:tc>
        <w:tc>
          <w:p>
            <w:r>
              <w:rPr>
                <w:sz w:val="14"/>
                <w:rFonts w:ascii="Myriad Pro Light"/>
                <w:tcPr>
                  <w:vAlign w:val="center"/>
                </w:tcPr>
              </w:rPr>
              <w:t>Klasse FP100</w:t>
            </w:r>
          </w:p>
        </w:tc>
        <w:tc>
          <w:p>
            <w:r>
              <w:rPr>
                <w:sz w:val="14"/>
                <w:rFonts w:ascii="Myriad Pro Light"/>
                <w:tcPr>
                  <w:vAlign w:val="center"/>
                </w:tcPr>
              </w:rPr>
              <w:t>Entspricht der Anforderungen</w:t>
            </w:r>
          </w:p>
        </w:tc>
        <w:tc>
          <w:p>
            <w:r>
              <w:rPr>
                <w:sz w:val="14"/>
                <w:rFonts w:ascii="Myriad Pro Light"/>
                <w:tcPr>
                  <w:vAlign w:val="center"/>
                </w:tcPr>
              </w:rPr>
              <w:t>Entspricht der Anforderungen</w:t>
            </w:r>
          </w:p>
        </w:tc>
      </w:tr>
      <w:tr>
        <w:tc>
          <w:p>
            <w:r>
              <w:rPr>
                <w:sz w:val="14"/>
                <w:rFonts w:ascii="Myriad Pro Light"/>
                <w:tcPr>
                  <w:vAlign w:val="center"/>
                </w:tcPr>
              </w:rPr>
              <w:t>Maßtoleranz</w:t>
            </w:r>
          </w:p>
        </w:tc>
        <w:tc>
          <w:p>
            <w:r>
              <w:rPr>
                <w:sz w:val="14"/>
                <w:rFonts w:ascii="Myriad Pro Light"/>
                <w:tcPr>
                  <w:vAlign w:val="center"/>
                </w:tcPr>
              </w:rPr>
              <w:t>Klasse R1</w:t>
            </w:r>
          </w:p>
        </w:tc>
        <w:tc>
          <w:p>
            <w:r>
              <w:rPr>
                <w:sz w:val="14"/>
                <w:rFonts w:ascii="Myriad Pro Light"/>
                <w:tcPr>
                  <w:vAlign w:val="center"/>
                </w:tcPr>
              </w:rPr>
              <w:t>Max 0,4 √d</w:t>
            </w:r>
          </w:p>
        </w:tc>
        <w:tc>
          <w:p>
            <w:r>
              <w:rPr>
                <w:sz w:val="14"/>
                <w:rFonts w:ascii="Myriad Pro Light"/>
                <w:tcPr>
                  <w:vAlign w:val="center"/>
                </w:tcPr>
              </w:rPr>
              <w:t>Max 0,6 √d</w:t>
            </w:r>
          </w:p>
        </w:tc>
      </w:tr>
      <w:tr>
        <w:tc>
          <w:p>
            <w:r>
              <w:rPr>
                <w:sz w:val="14"/>
                <w:rFonts w:ascii="Myriad Pro Light"/>
                <w:tcPr>
                  <w:vAlign w:val="center"/>
                </w:tcPr>
              </w:rPr>
              <w:t>Rutschfestigkeit</w:t>
            </w:r>
          </w:p>
        </w:tc>
        <w:tc>
          <w:p>
            <w:r>
              <w:rPr>
                <w:sz w:val="14"/>
                <w:rFonts w:ascii="Myriad Pro Light"/>
                <w:tcPr>
                  <w:vAlign w:val="center"/>
                </w:tcPr>
              </w:rPr>
              <w:t>Klasse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Säurebeständigkeit</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 </w:t>
            </w:r>
          </w:p>
        </w:tc>
      </w:tr>
    </w:tbl>
    <w:p w:rsidR="00852C38" w:rsidP="00852C38" w:rsidRDefault="00852C38" w14:paraId="0AB7BABA" w14:textId="49A8D9FB">
      <w:pPr>
        <w:pStyle w:val="Kop1"/>
        <w:keepNext/>
        <w:keepLines/>
        <w:suppressAutoHyphens/>
        <w:spacing w:before="109"/>
        <w:ind w:left="0" w:firstLine="464"/>
      </w:pPr>
      <w:r>
        <w:rPr>
          <w:noProof/>
          <w:color w:val="111111"/>
        </w:rPr>
        <w:t>VERLEGUNG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Die Tonpflasterklinker werden hochkant verlegt. Das Gefälle kann bei einem wasserdurchlässigen Pflaster auf 1 % beschränkt werden, um Versickerung zuzulassen. Die Tonpflasterklinker werden lose mit einer minimalen Fuge (2 bis 3 mm) nebeneinander verlegt und wenn nötig gelegentlich mit einer etwas größeren Fuge, um das Verlegemuster einzuhalten. </w:t>
        <w:br/>
        <w:t/>
        <w:br/>
        <w:t>Vor dem Abrütteln des Pflasters werden die Tonpflasterklinker mit Vande Moortel H2O Clay Paving Sand bedeckt. Dieser Fugensand hat einen Durchlässigkeitsbeiwert &gt; 5,4*10-5 m/s. Die Filterstabilität dieses Sands ist auf die Bettung Vande Moortel H2O Bedding Course abgestimmt.</w:t>
        <w:br/>
        <w:t>Der Fugensand wird ein erstes Mal eingekehrt, bis die Tonpflasterklinker stabil und fest sitzen, damit sie beim Abrütteln nicht mehr gegeneinander gedrückt werden können. Das Abrütteln erfolgt zur Vermeidung einer Beschädigung der Tonpflasterklinker mit einer Gummimatte unter der Rüttelplatte. Nach dem Abrütteln muss erneut Vande Moortel H2O Clay Paving Sand über die gesamte Fläche verteilt und mehrmals eingekehrt werden. Wiederholen Sie den Vorgang, bis sich die Tonpflasterklinker nicht mehr verschieben können und die Fuge vollständig gefüllt ist. Erst danach ist der Außenbelag bereit für die Inbetriebnahme.</w:t>
      </w:r>
      <w:r w:rsidR="00461C91">
        <w:rPr>
          <w:color w:val="111111"/>
          <w:sz w:val="16"/>
        </w:rPr>
        <w:br/>
      </w:r>
    </w:p>
    <w:p w:rsidR="00852C38" w:rsidP="00852C38" w:rsidRDefault="00852C38" w14:paraId="37F21B42" w14:textId="2CCBF522">
      <w:pPr>
        <w:pStyle w:val="Kop1"/>
      </w:pPr>
      <w:r>
        <w:rPr>
          <w:noProof/>
          <w:color w:val="111111"/>
        </w:rPr>
        <w:t>ANWENDUNG</w:t>
      </w:r>
    </w:p>
    <w:p w:rsidR="00852C38" w:rsidP="00852C38" w:rsidRDefault="00852C38" w14:paraId="5E0C973B" w14:textId="670B082E">
      <w:pPr>
        <w:spacing w:before="5" w:line="264" w:lineRule="auto"/>
        <w:ind w:left="464" w:right="463"/>
        <w:rPr>
          <w:color w:val="111111"/>
          <w:sz w:val="16"/>
        </w:rPr>
      </w:pPr>
      <w:r>
        <w:rPr>
          <w:noProof/>
          <w:color w:val="111111"/>
          <w:sz w:val="16"/>
        </w:rPr>
        <w:t>Die Verwendung von wasserdurchlässigen Tonpflasterklinkern beschränkt sich auf die Verkehrskategorien II, III und IV des belgischen Straßenbauforschungszentrums OCW. Praktisch wird ein Maximum von 100 Lkws (&gt; 3,5 Tonnen) und 5.000 leichten Fahrzeugen (&lt; 3,5 Tonnen) pro Tag vorausgesetzt. </w:t>
        <w:br/>
        <w:t>Aufgrund der relativ geringen Fugenbreite bleibt der Belag leicht begeh- und befahrbar und ein normaler Nutzungskomfort und akustischer Komfort erhalten. </w:t>
        <w:br/>
        <w:t>Der Tonpflasterklinker behält auch seine normale Festigkeit und Widerstandsfähigkeit gegen Säuren und Streusalze.</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MATERIALIEN</w:t>
      </w:r>
      <w:r w:rsidR="002F4419">
        <w:rPr>
          <w:color w:val="111111"/>
        </w:rPr>
        <w:br/>
      </w:r>
    </w:p>
    <w:p w:rsidR="00420024" w:rsidP="008742C3" w:rsidRDefault="00420024" w14:paraId="39DB7440" w14:textId="5F7FF1FA">
      <w:pPr>
        <w:pStyle w:val="Kop1"/>
        <w:keepLines/>
        <w:widowControl/>
      </w:pPr>
      <w:r>
        <w:rPr>
          <w:noProof/>
          <w:color w:val="111111"/>
        </w:rPr>
        <w:t>Fugenfüllung</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ist ein natürlicher reiner Brechsand, der über Zerkleinerungsverfahren aus Naturstein hergestellt wird. Seine natürliche Form ist eckig und scharfkantig und er enthält nahezu keine feinen Partikel kleiner als 0,063 mm (NBN EN 933-1) und hat eine Korngröße bis 2 mm. Die Farbe ist Dunkelgrau bis Anthrazit.</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Verpackung und Verbrauch von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Verpackung</w:t>
            </w:r>
          </w:p>
        </w:tc>
        <w:tc>
          <w:p>
            <w:r>
              <w:rPr>
                <w:sz w:val="14"/>
                <w:rFonts w:ascii="Myriad Pro Light"/>
                <w:b/>
                <w:tcPr>
                  <w:vAlign w:val="center"/>
                </w:tcPr>
              </w:rPr>
              <w:t>In Säcken zu je 25 kg</w:t>
            </w:r>
          </w:p>
        </w:tc>
      </w:tr>
      <w:tr>
        <w:tc>
          <w:p>
            <w:r>
              <w:rPr>
                <w:sz w:val="14"/>
                <w:rFonts w:ascii="Myriad Pro Light"/>
                <w:tcPr>
                  <w:vAlign w:val="center"/>
                </w:tcPr>
              </w:rPr>
              <w:t>Verbrauch</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je 25 kg</w:t>
            </w:r>
          </w:p>
        </w:tc>
      </w:tr>
      <w:tr>
        <w:tc>
          <w:p>
            <w:r>
              <w:rPr>
                <w:sz w:val="14"/>
                <w:rFonts w:ascii="Myriad Pro Light"/>
                <w:tcPr>
                  <w:vAlign w:val="center"/>
                </w:tcPr>
              </w:rPr>
              <w:t>Ancienne Belgique</w:t>
            </w:r>
          </w:p>
        </w:tc>
        <w:tc>
          <w:p>
            <w:r>
              <w:rPr>
                <w:sz w:val="14"/>
                <w:rFonts w:ascii="Myriad Pro Light"/>
                <w:tcPr>
                  <w:vAlign w:val="center"/>
                </w:tcPr>
              </w:rPr>
              <w:t>3,0 m² je 25 kg</w:t>
            </w:r>
          </w:p>
        </w:tc>
      </w:tr>
      <w:tr>
        <w:tc>
          <w:p>
            <w:r>
              <w:rPr>
                <w:sz w:val="14"/>
                <w:rFonts w:ascii="Myriad Pro Light"/>
                <w:tcPr>
                  <w:vAlign w:val="center"/>
                </w:tcPr>
              </w:rPr>
              <w:t>DecimA WF/DF</w:t>
            </w:r>
          </w:p>
        </w:tc>
        <w:tc>
          <w:p>
            <w:r>
              <w:rPr>
                <w:sz w:val="14"/>
                <w:rFonts w:ascii="Myriad Pro Light"/>
                <w:tcPr>
                  <w:vAlign w:val="center"/>
                </w:tcPr>
              </w:rPr>
              <w:t>2,5 m² je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Bettung</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Für die Bettung wird Vande Moortel H2O Bedding Course empfohlen. Dieser Brechsand hat eine Fraktion 2/4 und die erforderliche Qualität für eine gute dauerhafte Wasserdurchlässigkeit. Dies bedeutet, dass der Los Angeles-Koeffizient (LA – Widerstand gegen Zertrümmerung) nicht größer als 20 sein darf und der Micro-Deval-Koeffizient (MDE – Widerstand gegen Verschleiß) nicht größer als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Verpackung und Verbrauch von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Verpackung</w:t>
            </w:r>
          </w:p>
        </w:tc>
        <w:tc>
          <w:p>
            <w:r>
              <w:rPr>
                <w:sz w:val="14"/>
                <w:rFonts w:ascii="Myriad Pro Light"/>
                <w:b/>
                <w:tcPr>
                  <w:vAlign w:val="center"/>
                </w:tcPr>
              </w:rPr>
              <w:t>In Säcken zu je 40 kg</w:t>
            </w:r>
          </w:p>
        </w:tc>
      </w:tr>
      <w:tr>
        <w:tc>
          <w:p>
            <w:r>
              <w:rPr>
                <w:sz w:val="14"/>
                <w:rFonts w:ascii="Myriad Pro Light"/>
                <w:tcPr>
                  <w:vAlign w:val="center"/>
                </w:tcPr>
              </w:rPr>
              <w:t>Verbrauch (Dicke nach Verdichtung: 3 cm)</w:t>
            </w:r>
          </w:p>
        </w:tc>
        <w:tc>
          <w:p>
            <w:r>
              <w:rPr>
                <w:sz w:val="14"/>
                <w:rFonts w:ascii="Myriad Pro Light"/>
                <w:tcPr>
                  <w:vAlign w:val="center"/>
                </w:tcPr>
              </w:rPr>
              <w:t>Ca. 0,85 m² je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Wasserdurchlässige Schottertragschicht</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Für von Schwerlastverkehr stark frequentierte Bereiche ist eine Tragschicht aus wasserdurchlässigem Magerbeton am besten geeignet. Für alle anderen Anwendungen kann eine ungebundene, vorzugsweise durchgehende wasserdurchlässige Schottertragschicht mit ausreichender Tragfähigkeit verwendet werden. </w:t>
        <w:br/>
        <w:t>In Flandern: nach Standardleistungsverzeichnis für Straßenbau SB250 Version 4.1.a. Abschnitt 5-4.13 und Abschnitt 3-7.1.2.15</w:t>
        <w:br/>
        <w:t>In Brüssel: nach Standardleistungsverzeichnis für Straßenbau TB2015, Abschnitt E.4.2</w:t>
        <w:br/>
        <w:t>In der Wallonie: nach Standardleistungsverzeichnis für Straßenbau Qualiroutes 20. Juli 2021, Abschnitt F.4.2.1 (sofern eine Begrenzung des Gehalts an feinen Partikeln vorliegt) oder nach Abschnitt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Zusätzlich bei Verwendung von wasserdurchlässigem Magerbeton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Bei einer Tragschicht aus wasserdurchlässigem Magerbeton wird gemäß den Empfehlungen des belgischen Straßenbauforschungszentrums OCW (Nota 04/05/06 2022) ein Geotextil nach den technischen Vorschriften zu Geotextil PTV 829 verlegt, um das Auswaschen feiner Partikel aus der Bettung zu verhindern.</w:t>
        <w:br/>
        <w:t>In Flandern: nach Standardleistungsverzeichnis für Straßenbau SB250 Version 4.1.a, Abschnitt 5-4.10</w:t>
        <w:br/>
        <w:t>In Brüssel: nach Standardleistungsverzeichnis für Straßenbau TB2015, Abschnitt E.4.5</w:t>
        <w:br/>
        <w:t>In der Wallonie: nach Standardleistungsverzeichnis für Straßenbau Qualiroutes 20. Juli 2021, Abschnitt F.4.6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Untere Tragschicht aus wasserdurchlässigem Schotter</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Es empfiehlt sich, die gleichen Materialien zu verwenden wie für die Schottertragschicht. Von Mischschutt oder Mauerwerkschutt wird daher abgeraten. Im Standardleistungsverzeichnis für Straßenbau SB250 Version 4.1.a, Abschnitt 5 – 3.6 sind auch die Eigenschaften für eine wasserdurchlässige Schottertragschicht zu finden.</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 – Geogitter</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Zur Verbesserung der Tragfähigkeit bei gesättigtem Untergrund kann zusätzlich unter der unteren Tragschicht ein Geotextil und Geogitter verlegt werden. Geotextil Typ 2.5B, Vlies nach Standardleistungsverzeichnis für Straßenbau SB250 Version 4.1.a.</w:t>
        <w:br/>
        <w:t>Geogitter im Standardleistungsverzeichnis für Straßenbau SB250 Version 4.1.a. Abschnitt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INSTANDHALTUNG</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Wasserdurchlässige Pflaster aus Tonpflasterklinkern sind pflegeleicht. Die Reinigung kann mit einem Hochdruckreiniger erfolgen. Das gelöste verschmutzte Fugenmaterial wird von der Pflasterung beseitigt.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Wasserdurchlässige Tonpflasterklinker Taupe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03-04-2025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TONPFLASTERKLINKER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