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der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auf anfrage für Projekte &gt; 2000 m²</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