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Rot-Violett bis in die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auf anfrage für Projekte &gt; 2000 m²</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