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Braun in der Masse und stark nuanciert von Braun bis Violett-Blau.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*215x100x65 mm</w:t>
            </w:r>
          </w:p>
        </w:tc>
        <w:tc>
          <w:p>
            <w:r>
              <w:rPr>
                <w:sz w:val="14"/>
                <w:rFonts w:ascii="Myriad Pro Light"/>
                <w:tcPr>
                  <w:vAlign w:val="center"/>
                </w:tcPr>
              </w:rPr>
              <w:t>- auf anfrage &gt; 2000 m²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