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Creme in der Masse.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*218x104x63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