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gleichmäßiger Struktur hochgezogen. Die Farbe ist Cremeweiß bis in die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*227x73x55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4 kg/(m² . min )  IW3</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9002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